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6A8F" w14:textId="77777777" w:rsidR="00E92AA3" w:rsidRDefault="00E92AA3"/>
    <w:p w14:paraId="5443C782" w14:textId="2310155C" w:rsidR="003B66CF" w:rsidRPr="00552648" w:rsidRDefault="003B66CF" w:rsidP="006C613F">
      <w:pPr>
        <w:rPr>
          <w:b/>
          <w:bCs/>
        </w:rPr>
      </w:pPr>
      <w:r w:rsidRPr="00552648">
        <w:rPr>
          <w:b/>
          <w:bCs/>
          <w:u w:val="single"/>
        </w:rPr>
        <w:t xml:space="preserve">Neues Finanzierungsmodell der Rotary </w:t>
      </w:r>
      <w:proofErr w:type="spellStart"/>
      <w:r w:rsidRPr="00552648">
        <w:rPr>
          <w:b/>
          <w:bCs/>
          <w:u w:val="single"/>
        </w:rPr>
        <w:t>Foundation</w:t>
      </w:r>
      <w:proofErr w:type="spellEnd"/>
      <w:r w:rsidRPr="00552648">
        <w:rPr>
          <w:b/>
          <w:bCs/>
          <w:u w:val="single"/>
        </w:rPr>
        <w:t xml:space="preserve"> seit 1. Juli 2020 in Kraft</w:t>
      </w:r>
    </w:p>
    <w:p w14:paraId="3B1039C6" w14:textId="7F62D215" w:rsidR="003B66CF" w:rsidRDefault="00142686" w:rsidP="006C613F">
      <w:r>
        <w:t xml:space="preserve">Aufgrund </w:t>
      </w:r>
      <w:r w:rsidR="003C7F6C">
        <w:t xml:space="preserve">der Erfolgsgeschichte </w:t>
      </w:r>
      <w:r w:rsidR="00A74E23">
        <w:t>des</w:t>
      </w:r>
      <w:r>
        <w:t xml:space="preserve"> Global Grants</w:t>
      </w:r>
      <w:r w:rsidR="00A74E23">
        <w:t xml:space="preserve"> Programmes </w:t>
      </w:r>
      <w:r w:rsidR="003C7F6C">
        <w:t xml:space="preserve">seit 2013 </w:t>
      </w:r>
      <w:r>
        <w:t>ha</w:t>
      </w:r>
      <w:r w:rsidR="00A74E23">
        <w:t>t das</w:t>
      </w:r>
      <w:r w:rsidR="00410F30">
        <w:t xml:space="preserve"> Kuratorium der Rotary </w:t>
      </w:r>
      <w:proofErr w:type="spellStart"/>
      <w:r w:rsidR="00410F30">
        <w:t>Foundation</w:t>
      </w:r>
      <w:proofErr w:type="spellEnd"/>
      <w:r w:rsidR="00410F30">
        <w:t xml:space="preserve"> </w:t>
      </w:r>
      <w:r w:rsidR="00313BA9">
        <w:t xml:space="preserve">die Distrikte </w:t>
      </w:r>
      <w:r w:rsidR="005A29E6">
        <w:t>Ende Mai</w:t>
      </w:r>
      <w:r w:rsidR="00313BA9">
        <w:t xml:space="preserve"> informiert, dass es die Finanzierungsregeln </w:t>
      </w:r>
      <w:r w:rsidR="003C7F6C">
        <w:t>für</w:t>
      </w:r>
      <w:r w:rsidR="00313BA9">
        <w:t xml:space="preserve"> Global Grants </w:t>
      </w:r>
      <w:r w:rsidR="0002762F">
        <w:t>anpassen muss, damit die Kapazitäten des World</w:t>
      </w:r>
      <w:r w:rsidR="003C7F6C">
        <w:t xml:space="preserve"> F</w:t>
      </w:r>
      <w:r w:rsidR="0002762F">
        <w:t xml:space="preserve">onds </w:t>
      </w:r>
      <w:r w:rsidR="00047999">
        <w:t xml:space="preserve">auch längerfristig für das Programm ausreichen. </w:t>
      </w:r>
      <w:r w:rsidR="00305040">
        <w:t xml:space="preserve">Seit Beginn der Covid-19 Bekämpfung sind die Global Grant Anträge </w:t>
      </w:r>
      <w:r w:rsidR="00F70ACD">
        <w:t xml:space="preserve">weltweit </w:t>
      </w:r>
      <w:r w:rsidR="00305040">
        <w:t>um 33% gestiegen!</w:t>
      </w:r>
      <w:r w:rsidR="00096FE0">
        <w:t xml:space="preserve"> Am 22. Juli wurden die neuen Regeln </w:t>
      </w:r>
      <w:r w:rsidR="009F7F61">
        <w:t xml:space="preserve">von den TRF </w:t>
      </w:r>
      <w:r w:rsidR="00096FE0">
        <w:t>nochmals modifiziert.</w:t>
      </w:r>
    </w:p>
    <w:p w14:paraId="7E91C414" w14:textId="7628626C" w:rsidR="00305040" w:rsidRDefault="000D6CF2" w:rsidP="006C613F">
      <w:r>
        <w:t>Welches sind die Änderungen?</w:t>
      </w:r>
    </w:p>
    <w:p w14:paraId="0654C791" w14:textId="248EDFBE" w:rsidR="005D2DDB" w:rsidRDefault="005D2DDB" w:rsidP="005D2DDB">
      <w:pPr>
        <w:pStyle w:val="Paragrafoelenco"/>
        <w:numPr>
          <w:ilvl w:val="0"/>
          <w:numId w:val="1"/>
        </w:numPr>
      </w:pPr>
      <w:r>
        <w:t>Barbeiträge von Distrikten, Clubs</w:t>
      </w:r>
      <w:r w:rsidR="00266A51">
        <w:t>, einzelnen Rotariern</w:t>
      </w:r>
      <w:r>
        <w:t xml:space="preserve"> und Dritt</w:t>
      </w:r>
      <w:r w:rsidR="00266A51">
        <w:t>spendern wurden bisher aus dem World Fonds mit 50% ergänzt. Diese Zuschüsse fallen</w:t>
      </w:r>
      <w:r w:rsidR="00E044FB">
        <w:t xml:space="preserve"> neu</w:t>
      </w:r>
      <w:r w:rsidR="00266A51">
        <w:t xml:space="preserve"> weg</w:t>
      </w:r>
      <w:r w:rsidR="00EB5BAB">
        <w:t>!</w:t>
      </w:r>
    </w:p>
    <w:p w14:paraId="5BC3C7D4" w14:textId="226F244D" w:rsidR="00924468" w:rsidRDefault="00924468" w:rsidP="005D2DDB">
      <w:pPr>
        <w:pStyle w:val="Paragrafoelenco"/>
        <w:numPr>
          <w:ilvl w:val="0"/>
          <w:numId w:val="1"/>
        </w:numPr>
      </w:pPr>
      <w:r>
        <w:t xml:space="preserve">Der Minimalbeitrag aus dem World Funds von bisher USD 15‘000 fällt weg. </w:t>
      </w:r>
    </w:p>
    <w:p w14:paraId="1CD05F63" w14:textId="086369FE" w:rsidR="00050A3C" w:rsidRDefault="00050A3C" w:rsidP="005D2DDB">
      <w:pPr>
        <w:pStyle w:val="Paragrafoelenco"/>
        <w:numPr>
          <w:ilvl w:val="0"/>
          <w:numId w:val="1"/>
        </w:numPr>
      </w:pPr>
      <w:r>
        <w:t>Der Finanzierungsanteil der internationalen Partner wurde von 30 auf 15% reduziert.</w:t>
      </w:r>
    </w:p>
    <w:p w14:paraId="384575C5" w14:textId="62DC814D" w:rsidR="00924468" w:rsidRDefault="00070C4A" w:rsidP="005D2DDB">
      <w:pPr>
        <w:pStyle w:val="Paragrafoelenco"/>
        <w:numPr>
          <w:ilvl w:val="0"/>
          <w:numId w:val="1"/>
        </w:numPr>
      </w:pPr>
      <w:r>
        <w:t xml:space="preserve">Die </w:t>
      </w:r>
      <w:proofErr w:type="spellStart"/>
      <w:r>
        <w:t>Distriktsbeiträge</w:t>
      </w:r>
      <w:proofErr w:type="spellEnd"/>
      <w:r>
        <w:t xml:space="preserve"> aus dem sog.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Fund (DDF) werden weiterhin von der </w:t>
      </w:r>
      <w:proofErr w:type="spellStart"/>
      <w:r>
        <w:t>Foundation</w:t>
      </w:r>
      <w:proofErr w:type="spellEnd"/>
      <w:r>
        <w:t xml:space="preserve"> mit 100% ergänzt.</w:t>
      </w:r>
      <w:r w:rsidR="00924468">
        <w:t xml:space="preserve"> </w:t>
      </w:r>
      <w:r w:rsidR="00514E62">
        <w:t>Diese DDF können aus verschiedenen Distrikten stammen.</w:t>
      </w:r>
    </w:p>
    <w:p w14:paraId="5E467F1A" w14:textId="0524CB11" w:rsidR="00307357" w:rsidRDefault="00346EA3" w:rsidP="00042E24">
      <w:r>
        <w:t xml:space="preserve">In der folgenden Tabelle </w:t>
      </w:r>
      <w:r w:rsidR="00931F1C">
        <w:t xml:space="preserve">wird anhand eines Projektes </w:t>
      </w:r>
      <w:r w:rsidR="00C03D9A">
        <w:t>mit einem Budget von USD 6</w:t>
      </w:r>
      <w:r w:rsidR="00390E03">
        <w:t>5</w:t>
      </w:r>
      <w:r w:rsidR="00C03D9A">
        <w:t>'</w:t>
      </w:r>
      <w:r w:rsidR="00D526F8">
        <w:t>5</w:t>
      </w:r>
      <w:r w:rsidR="00C03D9A">
        <w:t xml:space="preserve">00 </w:t>
      </w:r>
      <w:r w:rsidR="00260287">
        <w:t xml:space="preserve">die Finanzierung mit den bisherigen und neuen Regeln aufgezeigt. </w:t>
      </w:r>
    </w:p>
    <w:p w14:paraId="6F8EEF97" w14:textId="77777777" w:rsidR="000E5CE2" w:rsidRDefault="000E5CE2" w:rsidP="00042E24"/>
    <w:p w14:paraId="0D700ECB" w14:textId="7BB36064" w:rsidR="00D526F8" w:rsidRDefault="005C0A38" w:rsidP="00042E24">
      <w:r>
        <w:rPr>
          <w:noProof/>
        </w:rPr>
        <w:drawing>
          <wp:inline distT="0" distB="0" distL="0" distR="0" wp14:anchorId="07E21BC7" wp14:editId="36A4B0BD">
            <wp:extent cx="5760720" cy="2941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D2CB" w14:textId="77777777" w:rsidR="005C0A38" w:rsidRDefault="005C0A38" w:rsidP="005C0A38">
      <w:pPr>
        <w:pStyle w:val="Nessunaspaziatura"/>
      </w:pPr>
    </w:p>
    <w:p w14:paraId="242AA5FD" w14:textId="0F2BFC56" w:rsidR="002B52E6" w:rsidRDefault="005C0A38" w:rsidP="00042E24">
      <w:r>
        <w:rPr>
          <w:noProof/>
        </w:rPr>
        <w:drawing>
          <wp:inline distT="0" distB="0" distL="0" distR="0" wp14:anchorId="257C1E86" wp14:editId="2BE4984C">
            <wp:extent cx="5514975" cy="152464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6921" cy="153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8C05A" w14:textId="77777777" w:rsidR="005C0A38" w:rsidRDefault="005C0A38" w:rsidP="00042E24"/>
    <w:p w14:paraId="7FCAF316" w14:textId="255FDC72" w:rsidR="002B52E6" w:rsidRDefault="00AF63C0" w:rsidP="00042E24">
      <w:bookmarkStart w:id="0" w:name="_GoBack"/>
      <w:bookmarkEnd w:id="0"/>
      <w:r>
        <w:t>Konklusion</w:t>
      </w:r>
      <w:r w:rsidR="00725ACD">
        <w:t>en</w:t>
      </w:r>
      <w:r>
        <w:t>:</w:t>
      </w:r>
    </w:p>
    <w:p w14:paraId="264E2C14" w14:textId="264006B3" w:rsidR="00C04382" w:rsidRDefault="00C04382" w:rsidP="00B5094F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Die </w:t>
      </w:r>
      <w:r w:rsidRPr="0053732B">
        <w:rPr>
          <w:u w:val="single"/>
        </w:rPr>
        <w:t>Zuschüsse aus dem World Funds</w:t>
      </w:r>
      <w:r>
        <w:t xml:space="preserve"> </w:t>
      </w:r>
      <w:r w:rsidR="00390E03">
        <w:t>zugunsten von</w:t>
      </w:r>
      <w:r>
        <w:t xml:space="preserve"> Global Grant Projekte</w:t>
      </w:r>
      <w:r w:rsidR="00390E03">
        <w:t>n</w:t>
      </w:r>
      <w:r>
        <w:t xml:space="preserve"> </w:t>
      </w:r>
      <w:r w:rsidRPr="0053732B">
        <w:rPr>
          <w:u w:val="single"/>
        </w:rPr>
        <w:t>nehmen ab</w:t>
      </w:r>
      <w:r w:rsidR="00EA5464">
        <w:t>.</w:t>
      </w:r>
    </w:p>
    <w:p w14:paraId="46123161" w14:textId="4DD647F2" w:rsidR="00AF63C0" w:rsidRDefault="00C04382" w:rsidP="00B5094F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Die </w:t>
      </w:r>
      <w:r w:rsidR="00656912" w:rsidRPr="00390E03">
        <w:rPr>
          <w:u w:val="single"/>
        </w:rPr>
        <w:t>DDF</w:t>
      </w:r>
      <w:r w:rsidRPr="00390E03">
        <w:rPr>
          <w:u w:val="single"/>
        </w:rPr>
        <w:t>-Beiträge</w:t>
      </w:r>
      <w:r>
        <w:t xml:space="preserve"> in der Projektfinanzierung fallen verstärkt ins Gewicht, weil nur noch diese Beiträge aus dem World Funds ergänzt werden und so eine </w:t>
      </w:r>
      <w:r w:rsidRPr="00390E03">
        <w:rPr>
          <w:u w:val="single"/>
        </w:rPr>
        <w:t>Hebelfunktion</w:t>
      </w:r>
      <w:r>
        <w:t xml:space="preserve"> in der Mittelbeschaffung bewirken. </w:t>
      </w:r>
    </w:p>
    <w:p w14:paraId="0B12F3E7" w14:textId="1CF0E97E" w:rsidR="00656912" w:rsidRDefault="00153476" w:rsidP="00B5094F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</w:pPr>
      <w:r w:rsidRPr="00390E03">
        <w:rPr>
          <w:u w:val="single"/>
        </w:rPr>
        <w:t>Unsere</w:t>
      </w:r>
      <w:r w:rsidR="00D42ED2" w:rsidRPr="00390E03">
        <w:rPr>
          <w:u w:val="single"/>
        </w:rPr>
        <w:t xml:space="preserve"> </w:t>
      </w:r>
      <w:r w:rsidR="00390E03" w:rsidRPr="00390E03">
        <w:rPr>
          <w:u w:val="single"/>
        </w:rPr>
        <w:t>EREY-</w:t>
      </w:r>
      <w:r w:rsidR="00D42ED2" w:rsidRPr="00390E03">
        <w:rPr>
          <w:u w:val="single"/>
        </w:rPr>
        <w:t xml:space="preserve">Spenden </w:t>
      </w:r>
      <w:r w:rsidR="00D42ED2" w:rsidRPr="00390E03">
        <w:t xml:space="preserve">an den Annual Fund </w:t>
      </w:r>
      <w:r w:rsidR="00266337" w:rsidRPr="00390E03">
        <w:t xml:space="preserve">werden für zukünftige </w:t>
      </w:r>
      <w:r w:rsidR="00FD54D3" w:rsidRPr="00390E03">
        <w:t xml:space="preserve">Grant-Anträge </w:t>
      </w:r>
      <w:r w:rsidR="00FD54D3" w:rsidRPr="00390E03">
        <w:rPr>
          <w:u w:val="single"/>
        </w:rPr>
        <w:t>noch wichtiger</w:t>
      </w:r>
      <w:r w:rsidR="00CF54EA">
        <w:t xml:space="preserve">, da der Distrikt nach 3 Jahren mehr DDF </w:t>
      </w:r>
      <w:r>
        <w:t xml:space="preserve">für Grants </w:t>
      </w:r>
      <w:r w:rsidR="00CF54EA">
        <w:t>zur Verfügung erhält.</w:t>
      </w:r>
    </w:p>
    <w:p w14:paraId="3B487E70" w14:textId="1854C143" w:rsidR="00A31E2B" w:rsidRDefault="00474AC2" w:rsidP="00B5094F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Im Vergleich zu Projekten ohne Unterstützung der </w:t>
      </w:r>
      <w:proofErr w:type="spellStart"/>
      <w:r>
        <w:t>Foundation</w:t>
      </w:r>
      <w:proofErr w:type="spellEnd"/>
      <w:r>
        <w:t xml:space="preserve"> </w:t>
      </w:r>
      <w:r w:rsidRPr="00B439FB">
        <w:rPr>
          <w:u w:val="single"/>
        </w:rPr>
        <w:t xml:space="preserve">bleiben Global Grants </w:t>
      </w:r>
      <w:r w:rsidR="00C04382" w:rsidRPr="00B439FB">
        <w:rPr>
          <w:u w:val="single"/>
        </w:rPr>
        <w:t xml:space="preserve">auch im neuen Modus </w:t>
      </w:r>
      <w:r w:rsidRPr="00B439FB">
        <w:rPr>
          <w:u w:val="single"/>
        </w:rPr>
        <w:t>attraktiv</w:t>
      </w:r>
      <w:r w:rsidR="00B439FB">
        <w:rPr>
          <w:u w:val="single"/>
        </w:rPr>
        <w:t>!</w:t>
      </w:r>
      <w:r>
        <w:t xml:space="preserve"> Im vorliegenden Beispiel beträgt der Finanzierungsanteil der </w:t>
      </w:r>
      <w:proofErr w:type="spellStart"/>
      <w:r>
        <w:t>Foundation</w:t>
      </w:r>
      <w:proofErr w:type="spellEnd"/>
      <w:r>
        <w:t xml:space="preserve"> </w:t>
      </w:r>
      <w:r w:rsidR="003B77E2">
        <w:t xml:space="preserve">immer noch </w:t>
      </w:r>
      <w:r w:rsidR="00390E03">
        <w:t>36</w:t>
      </w:r>
      <w:r w:rsidR="00010A63">
        <w:t>%</w:t>
      </w:r>
      <w:r w:rsidR="00390E03">
        <w:t xml:space="preserve">! </w:t>
      </w:r>
    </w:p>
    <w:p w14:paraId="454583AC" w14:textId="7AAA89B7" w:rsidR="001F4F75" w:rsidRDefault="001F4F75" w:rsidP="001F4F75"/>
    <w:p w14:paraId="7B7235CD" w14:textId="4DA5A022" w:rsidR="00153476" w:rsidRDefault="00855F63" w:rsidP="001F4F75">
      <w:r>
        <w:t xml:space="preserve">Für Fragen zur Finanzierung und generell zur </w:t>
      </w:r>
      <w:proofErr w:type="spellStart"/>
      <w:r>
        <w:t>Foundation</w:t>
      </w:r>
      <w:proofErr w:type="spellEnd"/>
      <w:r>
        <w:t xml:space="preserve"> steht Ihnen unser DRFC</w:t>
      </w:r>
      <w:r w:rsidR="00CA3A5F">
        <w:t>C</w:t>
      </w:r>
      <w:r>
        <w:t xml:space="preserve">, Rot. Martin Wegmüller, </w:t>
      </w:r>
      <w:hyperlink r:id="rId9" w:history="1">
        <w:r w:rsidRPr="00F87D03">
          <w:rPr>
            <w:rStyle w:val="Collegamentoipertestuale"/>
          </w:rPr>
          <w:t>martin.wegmueller@rotary1980.ch</w:t>
        </w:r>
      </w:hyperlink>
      <w:r>
        <w:t>, gerne zur Verfügung.</w:t>
      </w:r>
    </w:p>
    <w:p w14:paraId="1A8B69D5" w14:textId="2E95764A" w:rsidR="00390E03" w:rsidRPr="00E41AC1" w:rsidRDefault="00390E03" w:rsidP="001F4F75"/>
    <w:sectPr w:rsidR="00390E03" w:rsidRPr="00E41AC1" w:rsidSect="006C613F">
      <w:headerReference w:type="default" r:id="rId10"/>
      <w:pgSz w:w="11906" w:h="16838"/>
      <w:pgMar w:top="851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013A" w14:textId="77777777" w:rsidR="00D50A45" w:rsidRDefault="00D50A45" w:rsidP="006C613F">
      <w:pPr>
        <w:spacing w:after="0" w:line="240" w:lineRule="auto"/>
      </w:pPr>
      <w:r>
        <w:separator/>
      </w:r>
    </w:p>
  </w:endnote>
  <w:endnote w:type="continuationSeparator" w:id="0">
    <w:p w14:paraId="3614E297" w14:textId="77777777" w:rsidR="00D50A45" w:rsidRDefault="00D50A45" w:rsidP="006C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D7A94" w14:textId="77777777" w:rsidR="00D50A45" w:rsidRDefault="00D50A45" w:rsidP="006C613F">
      <w:pPr>
        <w:spacing w:after="0" w:line="240" w:lineRule="auto"/>
      </w:pPr>
      <w:r>
        <w:separator/>
      </w:r>
    </w:p>
  </w:footnote>
  <w:footnote w:type="continuationSeparator" w:id="0">
    <w:p w14:paraId="4CC896D6" w14:textId="77777777" w:rsidR="00D50A45" w:rsidRDefault="00D50A45" w:rsidP="006C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7B43" w14:textId="77777777" w:rsidR="006C613F" w:rsidRDefault="003354B0" w:rsidP="003354B0">
    <w:pPr>
      <w:pStyle w:val="Intestazione"/>
      <w:tabs>
        <w:tab w:val="clear" w:pos="4536"/>
        <w:tab w:val="center" w:pos="4253"/>
        <w:tab w:val="left" w:pos="6237"/>
      </w:tabs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444EFB3" wp14:editId="43AC8AE2">
              <wp:simplePos x="0" y="0"/>
              <wp:positionH relativeFrom="column">
                <wp:posOffset>4161594</wp:posOffset>
              </wp:positionH>
              <wp:positionV relativeFrom="paragraph">
                <wp:posOffset>77730</wp:posOffset>
              </wp:positionV>
              <wp:extent cx="1377950" cy="727075"/>
              <wp:effectExtent l="0" t="0" r="0" b="0"/>
              <wp:wrapTight wrapText="bothSides">
                <wp:wrapPolygon edited="0">
                  <wp:start x="0" y="0"/>
                  <wp:lineTo x="0" y="20940"/>
                  <wp:lineTo x="21202" y="20940"/>
                  <wp:lineTo x="21202" y="0"/>
                  <wp:lineTo x="0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D38BF" w14:textId="77777777" w:rsidR="003354B0" w:rsidRDefault="003354B0" w:rsidP="003354B0">
                          <w:pPr>
                            <w:pStyle w:val="Intestazione"/>
                            <w:tabs>
                              <w:tab w:val="clear" w:pos="4536"/>
                              <w:tab w:val="center" w:pos="4253"/>
                              <w:tab w:val="left" w:pos="6237"/>
                            </w:tabs>
                          </w:pPr>
                          <w:r w:rsidRPr="006C613F">
                            <w:rPr>
                              <w:sz w:val="20"/>
                              <w:szCs w:val="20"/>
                            </w:rPr>
                            <w:t>Martin Wegmüller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6C613F">
                            <w:rPr>
                              <w:sz w:val="20"/>
                              <w:szCs w:val="20"/>
                            </w:rPr>
                            <w:t>DRFCC Distrikt 1980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6C613F">
                            <w:rPr>
                              <w:sz w:val="20"/>
                              <w:szCs w:val="20"/>
                            </w:rPr>
                            <w:t>Neubadrain 87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6C613F">
                            <w:rPr>
                              <w:sz w:val="20"/>
                              <w:szCs w:val="20"/>
                            </w:rPr>
                            <w:t>CH-4102 Binningen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4EFB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7.7pt;margin-top:6.1pt;width:108.5pt;height:5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aJIgIAAB0EAAAOAAAAZHJzL2Uyb0RvYy54bWysU9tu2zAMfR+wfxD0vtjxkrkx4hRdugwD&#10;ugvQ7gNkSY6FSaInKbG7ry8lp2m2vQ3zgyCa5OHhIbW+Ho0mR+m8AlvT+SynRFoOQtl9Tb8/7N5c&#10;UeIDs4JpsLKmj9LT683rV+uhr2QBHWghHUEQ66uhr2kXQl9lmeedNMzPoJcWnS04wwKabp8JxwZE&#10;Nzor8vxdNoATvQMuvce/t5OTbhJ+20oevratl4HomiK3kE6Xziae2WbNqr1jfaf4iQb7BxaGKYtF&#10;z1C3LDBycOovKKO4Aw9tmHEwGbSt4jL1gN3M8z+6ue9YL1MvKI7vzzL5/wfLvxy/OaJETYt5SYll&#10;Bof0IMfQSi1IEfUZel9h2H2PgWF8DyPOOfXq+zvgPzyxsO2Y3csb52DoJBPIbx4zs4vUCcdHkGb4&#10;DALLsEOABDS2zkTxUA6C6Dinx/NskArhseTbslwt0cXRVxZlXi5TCVY9Z/fOh48SDImXmjqcfUJn&#10;xzsfIhtWPYfEYh60EjuldTLcvtlqR44M92SXvhP6b2HakqGmq2WxTMgWYn5aIaMC7rFWpqZXefxi&#10;OquiGh+sSPfAlJ7uyETbkzxRkUmbMDYjBkbNGhCPKJSDaV/xfeGlA/eLkgF3tab+54E5SYn+ZFHs&#10;1XyxiMudjMWyLNBwl57m0sMsR6iaBkqm6zakBxH5WrjBobQq6fXC5MQVdzDJeHovcckv7RT18qo3&#10;TwAAAP//AwBQSwMEFAAGAAgAAAAhAI/EstTcAAAACgEAAA8AAABkcnMvZG93bnJldi54bWxMj0FP&#10;g0AQhe8m/ofNmHgxdpEUqMjSqInGa2t/wABTILKzhN0W+u+dnvQ47315816xXeygzjT53rGBp1UE&#10;irh2Tc+tgcP3x+MGlA/IDQ6OycCFPGzL25sC88bNvKPzPrRKQtjnaKALYcy19nVHFv3KjcTiHd1k&#10;Mcg5tbqZcJZwO+g4ilJtsWf50OFI7x3VP/uTNXD8mh+S57n6DIdst07fsM8qdzHm/m55fQEVaAl/&#10;MFzrS3UopVPlTtx4NRhIk2QtqBhxDEqATRaLUF2FNANdFvr/hPIXAAD//wMAUEsBAi0AFAAGAAgA&#10;AAAhALaDOJL+AAAA4QEAABMAAAAAAAAAAAAAAAAAAAAAAFtDb250ZW50X1R5cGVzXS54bWxQSwEC&#10;LQAUAAYACAAAACEAOP0h/9YAAACUAQAACwAAAAAAAAAAAAAAAAAvAQAAX3JlbHMvLnJlbHNQSwEC&#10;LQAUAAYACAAAACEA+2oWiSICAAAdBAAADgAAAAAAAAAAAAAAAAAuAgAAZHJzL2Uyb0RvYy54bWxQ&#10;SwECLQAUAAYACAAAACEAj8Sy1NwAAAAKAQAADwAAAAAAAAAAAAAAAAB8BAAAZHJzL2Rvd25yZXYu&#10;eG1sUEsFBgAAAAAEAAQA8wAAAIUFAAAAAA==&#10;" stroked="f">
              <v:textbox>
                <w:txbxContent>
                  <w:p w14:paraId="1D3D38BF" w14:textId="77777777" w:rsidR="003354B0" w:rsidRDefault="003354B0" w:rsidP="003354B0">
                    <w:pPr>
                      <w:pStyle w:val="Intestazione"/>
                      <w:tabs>
                        <w:tab w:val="clear" w:pos="4536"/>
                        <w:tab w:val="center" w:pos="4253"/>
                        <w:tab w:val="left" w:pos="6237"/>
                      </w:tabs>
                    </w:pPr>
                    <w:r w:rsidRPr="006C613F">
                      <w:rPr>
                        <w:sz w:val="20"/>
                        <w:szCs w:val="20"/>
                      </w:rPr>
                      <w:t>Martin Wegmüller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6C613F">
                      <w:rPr>
                        <w:sz w:val="20"/>
                        <w:szCs w:val="20"/>
                      </w:rPr>
                      <w:t>DRFCC Distrikt 1980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6C613F">
                      <w:rPr>
                        <w:sz w:val="20"/>
                        <w:szCs w:val="20"/>
                      </w:rPr>
                      <w:t>Neubadrain 87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6C613F">
                      <w:rPr>
                        <w:sz w:val="20"/>
                        <w:szCs w:val="20"/>
                      </w:rPr>
                      <w:t>CH-4102 Binningen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D58C64F" wp14:editId="61BCA61B">
          <wp:simplePos x="0" y="0"/>
          <wp:positionH relativeFrom="column">
            <wp:posOffset>40362</wp:posOffset>
          </wp:positionH>
          <wp:positionV relativeFrom="paragraph">
            <wp:posOffset>135792</wp:posOffset>
          </wp:positionV>
          <wp:extent cx="1606595" cy="605307"/>
          <wp:effectExtent l="0" t="0" r="0" b="444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398" cy="60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13F">
      <w:tab/>
    </w:r>
    <w:r w:rsidR="006C613F">
      <w:tab/>
    </w:r>
  </w:p>
  <w:p w14:paraId="7C28B75E" w14:textId="77777777" w:rsidR="003354B0" w:rsidRDefault="003354B0" w:rsidP="003354B0">
    <w:pPr>
      <w:pStyle w:val="Intestazione"/>
      <w:tabs>
        <w:tab w:val="clear" w:pos="4536"/>
        <w:tab w:val="center" w:pos="4253"/>
        <w:tab w:val="left" w:pos="6237"/>
      </w:tabs>
    </w:pPr>
  </w:p>
  <w:p w14:paraId="410F7F12" w14:textId="77777777" w:rsidR="003354B0" w:rsidRDefault="003354B0" w:rsidP="003354B0">
    <w:pPr>
      <w:pStyle w:val="Intestazione"/>
      <w:tabs>
        <w:tab w:val="clear" w:pos="4536"/>
        <w:tab w:val="center" w:pos="4253"/>
        <w:tab w:val="left" w:pos="6237"/>
      </w:tabs>
    </w:pPr>
  </w:p>
  <w:p w14:paraId="0A8A9B00" w14:textId="77777777" w:rsidR="003354B0" w:rsidRDefault="003354B0" w:rsidP="003354B0">
    <w:pPr>
      <w:pStyle w:val="Intestazione"/>
      <w:tabs>
        <w:tab w:val="clear" w:pos="4536"/>
        <w:tab w:val="center" w:pos="4253"/>
        <w:tab w:val="left" w:pos="6237"/>
      </w:tabs>
    </w:pPr>
  </w:p>
  <w:p w14:paraId="02691117" w14:textId="77777777" w:rsidR="003354B0" w:rsidRDefault="003354B0" w:rsidP="003354B0">
    <w:pPr>
      <w:pStyle w:val="Intestazione"/>
      <w:tabs>
        <w:tab w:val="clear" w:pos="4536"/>
        <w:tab w:val="center" w:pos="4253"/>
        <w:tab w:val="left" w:pos="6237"/>
      </w:tabs>
    </w:pPr>
  </w:p>
  <w:p w14:paraId="13C15AC7" w14:textId="77777777" w:rsidR="003354B0" w:rsidRPr="006C613F" w:rsidRDefault="003354B0" w:rsidP="003354B0">
    <w:pPr>
      <w:pStyle w:val="Intestazione"/>
      <w:tabs>
        <w:tab w:val="clear" w:pos="4536"/>
        <w:tab w:val="center" w:pos="4253"/>
        <w:tab w:val="left" w:pos="623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D6A"/>
    <w:multiLevelType w:val="hybridMultilevel"/>
    <w:tmpl w:val="76E80DF8"/>
    <w:lvl w:ilvl="0" w:tplc="7BF048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A2753"/>
    <w:multiLevelType w:val="hybridMultilevel"/>
    <w:tmpl w:val="DEB449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A5"/>
    <w:rsid w:val="00010A63"/>
    <w:rsid w:val="0002762F"/>
    <w:rsid w:val="00042E24"/>
    <w:rsid w:val="00047999"/>
    <w:rsid w:val="00050A3C"/>
    <w:rsid w:val="000534C7"/>
    <w:rsid w:val="00070C4A"/>
    <w:rsid w:val="0007725E"/>
    <w:rsid w:val="00096FE0"/>
    <w:rsid w:val="000D6CF2"/>
    <w:rsid w:val="000E5CE2"/>
    <w:rsid w:val="00142686"/>
    <w:rsid w:val="00153476"/>
    <w:rsid w:val="001F4F75"/>
    <w:rsid w:val="00260287"/>
    <w:rsid w:val="00266337"/>
    <w:rsid w:val="00266A51"/>
    <w:rsid w:val="002B52E6"/>
    <w:rsid w:val="003033B5"/>
    <w:rsid w:val="00305040"/>
    <w:rsid w:val="00307357"/>
    <w:rsid w:val="00313BA9"/>
    <w:rsid w:val="003354B0"/>
    <w:rsid w:val="00346CC4"/>
    <w:rsid w:val="00346EA3"/>
    <w:rsid w:val="00390E03"/>
    <w:rsid w:val="003B66CF"/>
    <w:rsid w:val="003B77E2"/>
    <w:rsid w:val="003C7F6C"/>
    <w:rsid w:val="00410F30"/>
    <w:rsid w:val="004239C9"/>
    <w:rsid w:val="004465EB"/>
    <w:rsid w:val="00451758"/>
    <w:rsid w:val="00466443"/>
    <w:rsid w:val="00474AC2"/>
    <w:rsid w:val="00514E62"/>
    <w:rsid w:val="0053732B"/>
    <w:rsid w:val="00552648"/>
    <w:rsid w:val="005A29E6"/>
    <w:rsid w:val="005C0A38"/>
    <w:rsid w:val="005D2DDB"/>
    <w:rsid w:val="00656912"/>
    <w:rsid w:val="006C2966"/>
    <w:rsid w:val="006C613F"/>
    <w:rsid w:val="00710EFE"/>
    <w:rsid w:val="00725ACD"/>
    <w:rsid w:val="0074118B"/>
    <w:rsid w:val="00797B2D"/>
    <w:rsid w:val="008401CE"/>
    <w:rsid w:val="00855F63"/>
    <w:rsid w:val="008F0C4B"/>
    <w:rsid w:val="00905BB0"/>
    <w:rsid w:val="00924468"/>
    <w:rsid w:val="00931F1C"/>
    <w:rsid w:val="009F7F61"/>
    <w:rsid w:val="00A31E2B"/>
    <w:rsid w:val="00A44A2C"/>
    <w:rsid w:val="00A74E23"/>
    <w:rsid w:val="00AD5A4C"/>
    <w:rsid w:val="00AF63C0"/>
    <w:rsid w:val="00B439FB"/>
    <w:rsid w:val="00B5094F"/>
    <w:rsid w:val="00C03D9A"/>
    <w:rsid w:val="00C04382"/>
    <w:rsid w:val="00C175A5"/>
    <w:rsid w:val="00C20745"/>
    <w:rsid w:val="00CA3A5F"/>
    <w:rsid w:val="00CF54EA"/>
    <w:rsid w:val="00D42ED2"/>
    <w:rsid w:val="00D50A45"/>
    <w:rsid w:val="00D526F8"/>
    <w:rsid w:val="00E044FB"/>
    <w:rsid w:val="00E403CF"/>
    <w:rsid w:val="00E41AC1"/>
    <w:rsid w:val="00E90708"/>
    <w:rsid w:val="00E92AA3"/>
    <w:rsid w:val="00EA5464"/>
    <w:rsid w:val="00EB5BAB"/>
    <w:rsid w:val="00F70ACD"/>
    <w:rsid w:val="00F80198"/>
    <w:rsid w:val="00F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98C7850"/>
  <w15:docId w15:val="{F74B8D94-5973-4F2F-AF13-16186CB6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13F"/>
  </w:style>
  <w:style w:type="paragraph" w:styleId="Pidipagina">
    <w:name w:val="footer"/>
    <w:basedOn w:val="Normale"/>
    <w:link w:val="PidipaginaCarattere"/>
    <w:uiPriority w:val="99"/>
    <w:unhideWhenUsed/>
    <w:rsid w:val="006C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13F"/>
  </w:style>
  <w:style w:type="paragraph" w:styleId="Paragrafoelenco">
    <w:name w:val="List Paragraph"/>
    <w:basedOn w:val="Normale"/>
    <w:uiPriority w:val="34"/>
    <w:qFormat/>
    <w:rsid w:val="005D2D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5F6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855F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8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C0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.wegmueller@rotary1980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wegm\Documents\Benutzerdefinierte%20Office-Vorlagen\DRFCC%20Vorlage%20Newslet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DRFCC Vorlage Newsletter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Wegmüller</dc:creator>
  <cp:keywords/>
  <dc:description/>
  <cp:lastModifiedBy>Francesco Beretta Piccoli</cp:lastModifiedBy>
  <cp:revision>4</cp:revision>
  <cp:lastPrinted>2020-07-13T05:22:00Z</cp:lastPrinted>
  <dcterms:created xsi:type="dcterms:W3CDTF">2020-07-25T15:20:00Z</dcterms:created>
  <dcterms:modified xsi:type="dcterms:W3CDTF">2020-07-25T16:52:00Z</dcterms:modified>
</cp:coreProperties>
</file>